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DFCF" w14:textId="77777777" w:rsidR="00556C89" w:rsidRPr="00995F55" w:rsidRDefault="00556C89" w:rsidP="00556C89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>
        <w:rPr>
          <w:rFonts w:cs="Arial"/>
          <w:b/>
          <w:sz w:val="28"/>
          <w:szCs w:val="28"/>
        </w:rPr>
        <w:t>Integrated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4CFB7A7A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LA11D</w:t>
      </w:r>
      <w:r w:rsidR="002A277C">
        <w:rPr>
          <w:rFonts w:cs="Arial"/>
          <w:b/>
          <w:sz w:val="28"/>
          <w:szCs w:val="28"/>
        </w:rPr>
        <w:t>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FC288F">
        <w:rPr>
          <w:rFonts w:cs="Arial"/>
          <w:b/>
          <w:sz w:val="28"/>
          <w:szCs w:val="28"/>
        </w:rPr>
        <w:t>BVX11S23D6V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0634737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ERLA11DV3</w:t>
      </w:r>
    </w:p>
    <w:p w14:paraId="0CFF8450" w14:textId="5F34DFBF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FC288F" w:rsidRPr="00FC288F">
        <w:rPr>
          <w:rFonts w:cs="Arial"/>
          <w:szCs w:val="20"/>
        </w:rPr>
        <w:t>EBVX11S23D6V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DE8EB8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12,44</w:t>
      </w:r>
      <w:r w:rsidRPr="00B65AE3">
        <w:rPr>
          <w:rFonts w:cs="Arial"/>
          <w:szCs w:val="20"/>
        </w:rPr>
        <w:t xml:space="preserve"> kW </w:t>
      </w:r>
    </w:p>
    <w:p w14:paraId="4601434C" w14:textId="2034E61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2,57</w:t>
      </w:r>
      <w:r w:rsidRPr="00B65AE3">
        <w:rPr>
          <w:rFonts w:cs="Arial"/>
          <w:szCs w:val="20"/>
        </w:rPr>
        <w:t xml:space="preserve"> kW </w:t>
      </w:r>
    </w:p>
    <w:p w14:paraId="397F96D9" w14:textId="12D895D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4,</w:t>
      </w:r>
      <w:r w:rsidR="00C335A4">
        <w:rPr>
          <w:rFonts w:cs="Arial"/>
          <w:szCs w:val="20"/>
        </w:rPr>
        <w:t>8</w:t>
      </w:r>
      <w:r w:rsidR="000B2683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0CE42CD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</w:t>
      </w:r>
      <w:r w:rsidRPr="00B65AE3">
        <w:rPr>
          <w:rFonts w:cs="Arial"/>
          <w:szCs w:val="20"/>
        </w:rPr>
        <w:t xml:space="preserve"> kW </w:t>
      </w:r>
    </w:p>
    <w:p w14:paraId="5DB87E3C" w14:textId="71A9E369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2,52</w:t>
      </w:r>
      <w:r w:rsidRPr="00B65AE3">
        <w:rPr>
          <w:rFonts w:cs="Arial"/>
          <w:szCs w:val="20"/>
        </w:rPr>
        <w:t xml:space="preserve"> kW </w:t>
      </w:r>
    </w:p>
    <w:p w14:paraId="09CFB684" w14:textId="11E2B5C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4,75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409800F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EC0685"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3256564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Unità interna per installazione a pavimento, inclusiva di accumulo per la produzione di acqua calda sanitaria.</w:t>
      </w:r>
    </w:p>
    <w:p w14:paraId="2CAFA178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funzionamento*. </w:t>
      </w:r>
    </w:p>
    <w:p w14:paraId="68D240E6" w14:textId="059A5860" w:rsidR="00395432" w:rsidRPr="00DD686D" w:rsidRDefault="00395432" w:rsidP="00395432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 xml:space="preserve">È dotata di filtro defangatore magnetico con disaeratore, circolatore ad alta efficienza e riscaldatore elettrico di riserva. La valvola di by-pass differenziale è inclusa nella fornitura. L’interfaccia utente a bordo machina è ad alta risoluzione, semplice ed intuitiva; l’inserimento dei parametri di funzionamento è guidato e avviene in meno di 10 passaggi e possibile anche via PC tramite cavo accessorio. Il controllo dell’operatività dell’unità è possibile anche da App mobile Daikin Residential Controller utilizzando la schedina WLAN. </w:t>
      </w:r>
      <w:r>
        <w:rPr>
          <w:rFonts w:cs="Arial"/>
        </w:rPr>
        <w:t>Se si intende gestire la temperatura ambiente è necessario installare il madoka BRC1H in ambiente.</w:t>
      </w:r>
    </w:p>
    <w:p w14:paraId="65109C42" w14:textId="719A6012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 anche possibile sfruttare la funzione Smart Grid per la massima integrazione con un impianto fotovoltaico sui morsetti dedicati a bordo macchina.</w:t>
      </w:r>
    </w:p>
    <w:p w14:paraId="38C0B465" w14:textId="77777777" w:rsidR="00395432" w:rsidRPr="0043447C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476E9C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46B4052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*</w:t>
      </w:r>
      <w:r>
        <w:rPr>
          <w:rFonts w:cs="Arial"/>
          <w:sz w:val="16"/>
          <w:szCs w:val="16"/>
        </w:rPr>
        <w:t>n</w:t>
      </w:r>
      <w:r w:rsidRPr="003E06F2">
        <w:rPr>
          <w:rFonts w:cs="Arial"/>
          <w:sz w:val="16"/>
          <w:szCs w:val="16"/>
        </w:rPr>
        <w:t>on include gruppo di sicurezza e vaso di espansione per accumulo ACS.</w:t>
      </w:r>
    </w:p>
    <w:p w14:paraId="318F67FA" w14:textId="77777777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594A1A8" w14:textId="65F112D7" w:rsidR="00395432" w:rsidRPr="00B65AE3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1855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595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634</w:t>
      </w:r>
      <w:r w:rsidRPr="00B65AE3">
        <w:rPr>
          <w:rFonts w:cs="Arial"/>
          <w:szCs w:val="20"/>
        </w:rPr>
        <w:t xml:space="preserve"> mm. </w:t>
      </w:r>
    </w:p>
    <w:p w14:paraId="0BDE95A2" w14:textId="27A296EE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F5D252A" w14:textId="3BA6CB52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</w:t>
      </w:r>
      <w:r>
        <w:rPr>
          <w:rFonts w:cs="Arial"/>
          <w:szCs w:val="20"/>
        </w:rPr>
        <w:t xml:space="preserve"> monofase 230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73679173" w14:textId="6FBF6DB3" w:rsidR="0027687A" w:rsidRDefault="0027687A" w:rsidP="0027687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2384F950" w14:textId="77777777" w:rsidR="0027687A" w:rsidRPr="00B65AE3" w:rsidRDefault="0027687A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51F1BEC" w14:textId="108A766A" w:rsidR="00395432" w:rsidRDefault="00395432" w:rsidP="0039543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Peso: 1</w:t>
      </w:r>
      <w:r w:rsidR="0027687A">
        <w:rPr>
          <w:rFonts w:cs="Arial"/>
          <w:szCs w:val="20"/>
        </w:rPr>
        <w:t>33</w:t>
      </w:r>
      <w:r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6F58CB0F" w14:textId="2239CC1E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>
        <w:rPr>
          <w:rFonts w:cs="Arial"/>
        </w:rPr>
        <w:t xml:space="preserve"> ermeticamente sigillato</w:t>
      </w:r>
      <w:r w:rsidRPr="006B2BC3">
        <w:rPr>
          <w:rFonts w:cs="Arial"/>
        </w:rPr>
        <w:t xml:space="preserve">, volume d’acqua contenuto pari a </w:t>
      </w:r>
      <w:r>
        <w:rPr>
          <w:rFonts w:cs="Arial"/>
        </w:rPr>
        <w:t>2,16</w:t>
      </w:r>
      <w:r w:rsidRPr="006B2BC3">
        <w:rPr>
          <w:rFonts w:cs="Arial"/>
        </w:rPr>
        <w:t xml:space="preserve"> litri.</w:t>
      </w:r>
    </w:p>
    <w:p w14:paraId="3C72FFC7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acciaio, del volume pari a 10 litri; massima pressione di esercizio pari a 3 bar; pressione di precarica di 1 bar.</w:t>
      </w:r>
    </w:p>
    <w:p w14:paraId="22CB3C8D" w14:textId="1FE4B4EA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>
        <w:rPr>
          <w:rFonts w:cs="Arial"/>
        </w:rPr>
        <w:t xml:space="preserve">alle condizioni nominali è di 75 </w:t>
      </w:r>
      <w:r w:rsidRPr="006B2BC3">
        <w:rPr>
          <w:rFonts w:cs="Arial"/>
        </w:rPr>
        <w:t>W.</w:t>
      </w:r>
    </w:p>
    <w:p w14:paraId="69DEBD18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210933B0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>
        <w:rPr>
          <w:rFonts w:cs="Arial"/>
        </w:rPr>
        <w:t>.</w:t>
      </w:r>
    </w:p>
    <w:p w14:paraId="7910A4FA" w14:textId="77777777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0E95F3F3" w14:textId="77777777" w:rsidR="0027687A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Pr="006B2BC3">
        <w:rPr>
          <w:rFonts w:cs="Arial"/>
          <w:u w:val="single"/>
        </w:rPr>
        <w:t>pass differenziale:</w:t>
      </w:r>
      <w:r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29BC5EC3" w14:textId="46457DD5" w:rsidR="0027687A" w:rsidRPr="006B2BC3" w:rsidRDefault="0027687A" w:rsidP="0027687A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Accumulo per acqua calda sanitaria:</w:t>
      </w:r>
      <w:r>
        <w:rPr>
          <w:rFonts w:cs="Arial"/>
        </w:rPr>
        <w:t xml:space="preserve"> in acciaio inossidabile, perdita di calore di 1,4 kWh/24 h riferita ad un ΔT di 45 K.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7DE1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7687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95432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0006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56C89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0487F"/>
    <w:rsid w:val="00F121EF"/>
    <w:rsid w:val="00F254D4"/>
    <w:rsid w:val="00F566F5"/>
    <w:rsid w:val="00FA0CC0"/>
    <w:rsid w:val="00FC288F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20</cp:revision>
  <cp:lastPrinted>2017-03-23T09:32:00Z</cp:lastPrinted>
  <dcterms:created xsi:type="dcterms:W3CDTF">2021-09-29T17:12:00Z</dcterms:created>
  <dcterms:modified xsi:type="dcterms:W3CDTF">2021-12-09T10:26:00Z</dcterms:modified>
</cp:coreProperties>
</file>